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7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520"/>
        <w:gridCol w:w="6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eastAsia="方正小标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_GBK" w:eastAsia="方正小标宋_GBK"/>
                <w:bCs/>
                <w:color w:val="000000"/>
                <w:kern w:val="0"/>
                <w:sz w:val="24"/>
              </w:rPr>
              <w:t>2023年成都市社会组织发展专项基金</w:t>
            </w:r>
          </w:p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_GBK" w:eastAsia="方正小标宋_GBK"/>
                <w:bCs/>
                <w:color w:val="000000"/>
                <w:kern w:val="0"/>
                <w:sz w:val="24"/>
              </w:rPr>
              <w:t>成都市社会组织助力产业建圈强链行动-初审指标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以下四项指标任意一项不符合，即不通过初审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指标一</w:t>
            </w:r>
          </w:p>
        </w:tc>
        <w:tc>
          <w:tcPr>
            <w:tcW w:w="777" w:type="pct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申报主体</w:t>
            </w:r>
          </w:p>
        </w:tc>
        <w:tc>
          <w:tcPr>
            <w:tcW w:w="3558" w:type="pct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成都市登记注册且本年度年检合格的社会组织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指标二</w:t>
            </w:r>
          </w:p>
        </w:tc>
        <w:tc>
          <w:tcPr>
            <w:tcW w:w="777" w:type="pct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产业范围</w:t>
            </w:r>
          </w:p>
        </w:tc>
        <w:tc>
          <w:tcPr>
            <w:tcW w:w="3558" w:type="pct"/>
            <w:vAlign w:val="center"/>
          </w:tcPr>
          <w:p>
            <w:pPr>
              <w:widowControl/>
              <w:snapToGrid w:val="0"/>
              <w:spacing w:line="216" w:lineRule="auto"/>
              <w:jc w:val="left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申报项目属于2个万亿级，10个千亿级产业，在电子信息、数字经济、航空航天、现代交通、绿色低碳、大健康、新消费、现代农业等8大产业生态圈的28个重点产业链范围内，包括：（1）集成电路、（2）新型显示、（3）智能终端、（4）高端软件与操作系统、（5）大数据与人工智能（含车载智能控制系统）、（6）工业互联网、（7）卫星互联网与卫星应用、（8）金融科技、（9）航空发动机、（10）工业无人机、（11）大飞机制造与服务、（12）汽车（新能源汽车）、（13）轨道交通、（14）现代物流、（15）生态环保、（16）新能源、（17）新材料、（18）创新药（含中医药）、（19）高端医疗器械、（20）高端诊疗、（21）旅游业、（22）文创业（含数字文创）、（23）会展业、（24）体育产业、（25）音乐产业、（26）美食产业（含绿色食品）、（27）现代种业、（28）都市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指标三</w:t>
            </w:r>
          </w:p>
        </w:tc>
        <w:tc>
          <w:tcPr>
            <w:tcW w:w="777" w:type="pct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申报方案</w:t>
            </w:r>
          </w:p>
        </w:tc>
        <w:tc>
          <w:tcPr>
            <w:tcW w:w="3558" w:type="pct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 xml:space="preserve">申报方案的完整性（五大核心要素：问题与需求分析、项目目标、项目实施计划、执行团队、项目预算）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4" w:type="pc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Cs w:val="21"/>
              </w:rPr>
              <w:t>指标四</w:t>
            </w:r>
          </w:p>
        </w:tc>
        <w:tc>
          <w:tcPr>
            <w:tcW w:w="777" w:type="pct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承诺书</w:t>
            </w:r>
          </w:p>
        </w:tc>
        <w:tc>
          <w:tcPr>
            <w:tcW w:w="3558" w:type="pct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Cs/>
                <w:color w:val="000000"/>
                <w:kern w:val="0"/>
                <w:szCs w:val="21"/>
              </w:rPr>
              <w:t>申报方需提交申报方案内容真实性承诺书</w:t>
            </w:r>
          </w:p>
        </w:tc>
      </w:tr>
    </w:tbl>
    <w:p>
      <w:pPr>
        <w:pStyle w:val="5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both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both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</w:pPr>
    </w:p>
    <w:tbl>
      <w:tblPr>
        <w:tblStyle w:val="6"/>
        <w:tblW w:w="9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048"/>
        <w:gridCol w:w="6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Times New Roman" w:eastAsia="方正小标宋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color w:val="000000"/>
                <w:kern w:val="0"/>
                <w:sz w:val="24"/>
              </w:rPr>
              <w:t>2023年成都市社会组织发展专项基金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小标宋_GBK" w:cs="Times New Roman"/>
                <w:bCs/>
                <w:color w:val="000000"/>
                <w:kern w:val="0"/>
                <w:sz w:val="24"/>
              </w:rPr>
              <w:t>民政民生领域</w:t>
            </w:r>
            <w:r>
              <w:rPr>
                <w:rFonts w:hint="eastAsia" w:ascii="Times New Roman" w:hAnsi="Times New Roman" w:eastAsia="方正小标宋_GBK" w:cs="Times New Roman"/>
                <w:bCs/>
                <w:color w:val="000000"/>
                <w:kern w:val="0"/>
                <w:sz w:val="24"/>
              </w:rPr>
              <w:t>类</w:t>
            </w:r>
            <w:r>
              <w:rPr>
                <w:rFonts w:ascii="Times New Roman" w:hAnsi="Times New Roman" w:eastAsia="方正小标宋_GBK" w:cs="Times New Roman"/>
                <w:bCs/>
                <w:color w:val="000000"/>
                <w:kern w:val="0"/>
                <w:sz w:val="24"/>
              </w:rPr>
              <w:t>-项目初审指标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指标说明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项目方案（60分）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社会问题的紧迫性、对社会问题界定的清晰度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项目要解决的社会问题具有紧迫性、且对社会问题的界定清晰准确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服务对象的聚焦程度、可获得性、需求分析的准确性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服务对象聚焦、可获得且对服务对象特征和需求的描述准确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项目目标的清晰度、合理性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对项目目标较好的回应需求且项目指标能有效反映目标、可衡量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项目内容设计的合理性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项目内容设计具有较强的专业性、参与人数和活动频次安排均合理，回应项目目标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项目的创新性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项目关注的问题较少有组织关注且呈现出紧迫性的得分、项目运用的服务方式鲜有人用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项目的可持续性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项目有较好的可持续的模式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风险应对预案的合理性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对项目风险的预测全面、合理且能提出合理应对方案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团队情况（10分）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本次申报的项目与机构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业务发展方向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本次申报的项目与该机构的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业务发展方向一致。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经费预算（30分）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项目预算清晰、与项目内容匹配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项目预算能清楚的看到每一笔预算的明细、预算与项目内容完全匹配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项目成本合理</w:t>
            </w:r>
          </w:p>
        </w:tc>
        <w:tc>
          <w:tcPr>
            <w:tcW w:w="6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预算的单价、不同类型预算比例合理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horzAnchor="margin" w:tblpXSpec="center" w:tblpY="795"/>
        <w:tblW w:w="614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916"/>
        <w:gridCol w:w="7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Times New Roman" w:eastAsia="方正小标宋_GBK" w:cs="Times New Roman"/>
                <w:bCs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方正小标宋_GBK" w:hAnsi="Times New Roman" w:eastAsia="方正小标宋_GBK" w:cs="Times New Roman"/>
                <w:bCs/>
                <w:color w:val="000000"/>
                <w:kern w:val="0"/>
                <w:sz w:val="24"/>
              </w:rPr>
              <w:t>2023年成都市社会组织发展专项基金</w:t>
            </w:r>
          </w:p>
          <w:bookmarkEnd w:id="0"/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小标宋_GBK" w:cs="Times New Roman"/>
                <w:bCs/>
                <w:color w:val="000000"/>
                <w:kern w:val="0"/>
                <w:sz w:val="22"/>
                <w:szCs w:val="21"/>
              </w:rPr>
              <w:t>公益生态营造类-项目初审指标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9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指标说明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2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项目方案（80分）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对所申报的项目类型认识清晰、项目目标合理</w:t>
            </w:r>
          </w:p>
        </w:tc>
        <w:tc>
          <w:tcPr>
            <w:tcW w:w="3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对所申报的项目类型有较好的认识，且回应相关需求，项目指标能有效反映目标、可衡量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项目内容设计的合理性</w:t>
            </w:r>
          </w:p>
        </w:tc>
        <w:tc>
          <w:tcPr>
            <w:tcW w:w="3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项目内容设计具有较强的专业性，能够回应项目目标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项目的可持续性</w:t>
            </w:r>
          </w:p>
        </w:tc>
        <w:tc>
          <w:tcPr>
            <w:tcW w:w="3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项目有较好的可持续的模式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风险应对预案的合理性</w:t>
            </w:r>
          </w:p>
        </w:tc>
        <w:tc>
          <w:tcPr>
            <w:tcW w:w="3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对项目风险的预测全面、合理且能提出合理应对方案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2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经费预算（20分）</w:t>
            </w: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项目预算清晰、与项目内容匹配</w:t>
            </w:r>
          </w:p>
        </w:tc>
        <w:tc>
          <w:tcPr>
            <w:tcW w:w="3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项目预算能清楚的看到每一笔预算的明细、预算与项目内容完全匹配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项目成本合理</w:t>
            </w:r>
          </w:p>
        </w:tc>
        <w:tc>
          <w:tcPr>
            <w:tcW w:w="3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预算的单价、不同类型预算比例合理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tabs>
          <w:tab w:val="left" w:pos="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6"/>
        <w:tblW w:w="59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2757"/>
        <w:gridCol w:w="5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Times New Roman" w:eastAsia="方正小标宋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color w:val="000000"/>
                <w:kern w:val="0"/>
                <w:sz w:val="24"/>
              </w:rPr>
              <w:t>2023年成都市社会组织发展专项基金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小标宋_GBK" w:cs="Times New Roman"/>
                <w:bCs/>
                <w:color w:val="000000"/>
                <w:kern w:val="0"/>
                <w:sz w:val="22"/>
                <w:szCs w:val="21"/>
              </w:rPr>
              <w:t>公益生态营造类课题研究-项目初审指标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指标说明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2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项目方案（30分）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项目目标的清晰度、合理性</w:t>
            </w:r>
          </w:p>
        </w:tc>
        <w:tc>
          <w:tcPr>
            <w:tcW w:w="2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对项目目标较好的回应且项目指标能有效反映目标、可衡量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课题研究内容设计的合理性</w:t>
            </w:r>
          </w:p>
        </w:tc>
        <w:tc>
          <w:tcPr>
            <w:tcW w:w="2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课题研究内容设计具有较强的专业性、合理性，内容能够回应项目目标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时间安排合理</w:t>
            </w:r>
          </w:p>
        </w:tc>
        <w:tc>
          <w:tcPr>
            <w:tcW w:w="2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时间安排上，与课题研究内容相符、合理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2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风险应对预案的合理性</w:t>
            </w:r>
          </w:p>
        </w:tc>
        <w:tc>
          <w:tcPr>
            <w:tcW w:w="2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对项目风险的预测全面、合理且能提出合理应对方案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专业性与需求（50分）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课题研究能力</w:t>
            </w:r>
          </w:p>
        </w:tc>
        <w:tc>
          <w:tcPr>
            <w:tcW w:w="2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课题研究执行方具备较强学术研究实力，能够承担研究课题，且能保障课题研究质量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相关研究课题对促进成都市社会组织发展的意义</w:t>
            </w:r>
          </w:p>
        </w:tc>
        <w:tc>
          <w:tcPr>
            <w:tcW w:w="2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课题研究成果，有利于促进和帮助成都市社会组织发展，能够有效地回应成都市社会组织发展过程中的需求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相关研究课题对促进成都市公益生态营造的意义</w:t>
            </w:r>
          </w:p>
        </w:tc>
        <w:tc>
          <w:tcPr>
            <w:tcW w:w="2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课题研究成果，有利于促进成都市公益生态营造，能够促进成都市公益生态环境良性发展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2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经费预算（20分）</w:t>
            </w: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项目预算清晰、与项目内容匹配</w:t>
            </w:r>
          </w:p>
        </w:tc>
        <w:tc>
          <w:tcPr>
            <w:tcW w:w="2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项目预算能清楚的看到每一笔预算的明细、预算与项目内容完全匹配。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2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项目成本合理</w:t>
            </w:r>
          </w:p>
        </w:tc>
        <w:tc>
          <w:tcPr>
            <w:tcW w:w="29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预算的单价、不同类型预算比例合理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pStyle w:val="5"/>
        <w:spacing w:before="0" w:beforeAutospacing="0" w:after="0" w:afterAutospacing="0" w:line="560" w:lineRule="exact"/>
        <w:ind w:right="128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FE"/>
    <w:rsid w:val="000007FE"/>
    <w:rsid w:val="00014035"/>
    <w:rsid w:val="00036254"/>
    <w:rsid w:val="001820A9"/>
    <w:rsid w:val="001F2295"/>
    <w:rsid w:val="001F58B4"/>
    <w:rsid w:val="002678ED"/>
    <w:rsid w:val="003C2BBC"/>
    <w:rsid w:val="0040637C"/>
    <w:rsid w:val="004444B9"/>
    <w:rsid w:val="004B0E38"/>
    <w:rsid w:val="004B1892"/>
    <w:rsid w:val="005874A0"/>
    <w:rsid w:val="0059455E"/>
    <w:rsid w:val="005F12ED"/>
    <w:rsid w:val="006454A1"/>
    <w:rsid w:val="00725E2A"/>
    <w:rsid w:val="00774A7E"/>
    <w:rsid w:val="007A6979"/>
    <w:rsid w:val="007B7251"/>
    <w:rsid w:val="007C68E8"/>
    <w:rsid w:val="008B0870"/>
    <w:rsid w:val="008D7D01"/>
    <w:rsid w:val="008E3F6F"/>
    <w:rsid w:val="008F156A"/>
    <w:rsid w:val="00901C61"/>
    <w:rsid w:val="009706F5"/>
    <w:rsid w:val="00977652"/>
    <w:rsid w:val="0098686F"/>
    <w:rsid w:val="009978AD"/>
    <w:rsid w:val="009A64BD"/>
    <w:rsid w:val="00AA6E00"/>
    <w:rsid w:val="00B04BF9"/>
    <w:rsid w:val="00B67CC6"/>
    <w:rsid w:val="00C205AD"/>
    <w:rsid w:val="00C54D14"/>
    <w:rsid w:val="00CA679E"/>
    <w:rsid w:val="00CA7EA2"/>
    <w:rsid w:val="00CE2181"/>
    <w:rsid w:val="00CF720D"/>
    <w:rsid w:val="00D81EA5"/>
    <w:rsid w:val="00D94859"/>
    <w:rsid w:val="00DC64C3"/>
    <w:rsid w:val="00DC799E"/>
    <w:rsid w:val="00E75648"/>
    <w:rsid w:val="00F14F94"/>
    <w:rsid w:val="00F37471"/>
    <w:rsid w:val="779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294</Words>
  <Characters>1680</Characters>
  <Lines>14</Lines>
  <Paragraphs>3</Paragraphs>
  <TotalTime>48</TotalTime>
  <ScaleCrop>false</ScaleCrop>
  <LinksUpToDate>false</LinksUpToDate>
  <CharactersWithSpaces>1971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2022-06-29T13:59:00Z</dcterms:created>
  <dc:creator>卢丹</dc:creator>
  <cp:lastModifiedBy>uos</cp:lastModifiedBy>
  <dcterms:modified xsi:type="dcterms:W3CDTF">2023-05-30T14:39:57Z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